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1" w:rsidRPr="001D74A1" w:rsidRDefault="00111381" w:rsidP="00111381">
      <w:pPr>
        <w:jc w:val="center"/>
        <w:rPr>
          <w:rFonts w:ascii="Garamond" w:hAnsi="Garamond"/>
          <w:b/>
          <w:sz w:val="32"/>
        </w:rPr>
      </w:pPr>
      <w:r w:rsidRPr="001D74A1">
        <w:rPr>
          <w:rFonts w:ascii="Garamond" w:hAnsi="Garamond"/>
          <w:b/>
          <w:sz w:val="32"/>
        </w:rPr>
        <w:t>MILTON</w:t>
      </w:r>
      <w:r w:rsidR="00C07ED7">
        <w:rPr>
          <w:rFonts w:ascii="Garamond" w:hAnsi="Garamond"/>
          <w:b/>
          <w:sz w:val="32"/>
        </w:rPr>
        <w:t>’</w:t>
      </w:r>
      <w:bookmarkStart w:id="0" w:name="_GoBack"/>
      <w:bookmarkEnd w:id="0"/>
      <w:r w:rsidRPr="001D74A1">
        <w:rPr>
          <w:rFonts w:ascii="Garamond" w:hAnsi="Garamond"/>
          <w:b/>
          <w:sz w:val="32"/>
        </w:rPr>
        <w:t xml:space="preserve">S </w:t>
      </w:r>
      <w:r w:rsidRPr="001D74A1">
        <w:rPr>
          <w:rFonts w:ascii="Garamond" w:hAnsi="Garamond"/>
          <w:b/>
          <w:i/>
          <w:sz w:val="32"/>
        </w:rPr>
        <w:t>PARADISE LOST,</w:t>
      </w:r>
      <w:r w:rsidRPr="001D74A1">
        <w:rPr>
          <w:rFonts w:ascii="Garamond" w:hAnsi="Garamond"/>
          <w:b/>
          <w:sz w:val="32"/>
        </w:rPr>
        <w:t xml:space="preserve"> PURITANISM AND TYPOLOGY</w:t>
      </w:r>
    </w:p>
    <w:p w:rsidR="00111381" w:rsidRDefault="00111381" w:rsidP="00111381">
      <w:pPr>
        <w:jc w:val="both"/>
        <w:rPr>
          <w:rFonts w:ascii="Garamond" w:hAnsi="Garamond"/>
        </w:rPr>
      </w:pPr>
    </w:p>
    <w:p w:rsidR="00111381" w:rsidRPr="00266D05" w:rsidRDefault="00111381" w:rsidP="00111381">
      <w:pPr>
        <w:jc w:val="center"/>
        <w:rPr>
          <w:rFonts w:ascii="Garamond" w:hAnsi="Garamond"/>
          <w:b/>
        </w:rPr>
      </w:pPr>
      <w:r w:rsidRPr="00266D05">
        <w:rPr>
          <w:rFonts w:ascii="Garamond" w:hAnsi="Garamond"/>
          <w:b/>
        </w:rPr>
        <w:t xml:space="preserve">From </w:t>
      </w:r>
      <w:r w:rsidRPr="00266D05">
        <w:rPr>
          <w:rFonts w:ascii="Garamond" w:hAnsi="Garamond"/>
          <w:b/>
          <w:i/>
        </w:rPr>
        <w:t xml:space="preserve">The Puritan Origins of the American Self, </w:t>
      </w:r>
      <w:r w:rsidRPr="00266D05">
        <w:rPr>
          <w:rFonts w:ascii="Garamond" w:hAnsi="Garamond"/>
          <w:b/>
        </w:rPr>
        <w:t>by Sacvan Bercovitch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</w:p>
    <w:p w:rsidR="00111381" w:rsidRPr="003B0AE2" w:rsidRDefault="00111381" w:rsidP="00111381">
      <w:pPr>
        <w:ind w:left="720" w:right="720"/>
        <w:jc w:val="both"/>
        <w:rPr>
          <w:rFonts w:ascii="Garamond" w:hAnsi="Garamond"/>
        </w:rPr>
      </w:pPr>
      <w:r w:rsidRPr="003B0AE2">
        <w:rPr>
          <w:rFonts w:ascii="Garamond" w:hAnsi="Garamond"/>
        </w:rPr>
        <w:t xml:space="preserve">For the seventeenth-century Puritan, </w:t>
      </w:r>
      <w:r w:rsidRPr="003B0AE2">
        <w:rPr>
          <w:rFonts w:ascii="Garamond" w:hAnsi="Garamond"/>
          <w:i/>
        </w:rPr>
        <w:t>exemplum fidei</w:t>
      </w:r>
      <w:r w:rsidRPr="003B0AE2">
        <w:rPr>
          <w:rFonts w:ascii="Garamond" w:hAnsi="Garamond"/>
        </w:rPr>
        <w:t xml:space="preserve"> denoted a type of Christ; and what he meant by type pertained equally to biography and to history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>In its original form, typology was a hermeneutical mode connecting the Old Testament to the New in terms of the life of Jesus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>It interpreted the Israelite saints, individually, and the progress of Israel, collectively, as a foreshadowing of the gospel revelation…. With the development of hermeneutics, the Church Fathers extended typology to postscriptural persons and events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>Sacred history did not end, after all, with the Bible; it became the task of typology to define the course of the church (</w:t>
      </w:r>
      <w:r w:rsidR="00C07ED7">
        <w:rPr>
          <w:rFonts w:ascii="Garamond" w:hAnsi="Garamond"/>
        </w:rPr>
        <w:t>“</w:t>
      </w:r>
      <w:r w:rsidRPr="003B0AE2">
        <w:rPr>
          <w:rFonts w:ascii="Garamond" w:hAnsi="Garamond"/>
        </w:rPr>
        <w:t>spiritual Israel</w:t>
      </w:r>
      <w:r w:rsidR="00C07ED7">
        <w:rPr>
          <w:rFonts w:ascii="Garamond" w:hAnsi="Garamond"/>
        </w:rPr>
        <w:t>”</w:t>
      </w:r>
      <w:r w:rsidRPr="003B0AE2">
        <w:rPr>
          <w:rFonts w:ascii="Garamond" w:hAnsi="Garamond"/>
        </w:rPr>
        <w:t>) and of the exemplary Christian life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 xml:space="preserve">In this view Christ, the </w:t>
      </w:r>
      <w:r w:rsidR="00C07ED7">
        <w:rPr>
          <w:rFonts w:ascii="Garamond" w:hAnsi="Garamond"/>
        </w:rPr>
        <w:t>“</w:t>
      </w:r>
      <w:r w:rsidRPr="003B0AE2">
        <w:rPr>
          <w:rFonts w:ascii="Garamond" w:hAnsi="Garamond"/>
        </w:rPr>
        <w:t>antitype,</w:t>
      </w:r>
      <w:r w:rsidR="00C07ED7">
        <w:rPr>
          <w:rFonts w:ascii="Garamond" w:hAnsi="Garamond"/>
        </w:rPr>
        <w:t>”</w:t>
      </w:r>
      <w:r w:rsidRPr="003B0AE2">
        <w:rPr>
          <w:rFonts w:ascii="Garamond" w:hAnsi="Garamond"/>
        </w:rPr>
        <w:t xml:space="preserve"> stood at the center of history, casting His shadow forward to the end of time as well as backward across the Old Testament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 xml:space="preserve">Every believer was a </w:t>
      </w:r>
      <w:r w:rsidRPr="003B0AE2">
        <w:rPr>
          <w:rFonts w:ascii="Garamond" w:hAnsi="Garamond"/>
          <w:i/>
        </w:rPr>
        <w:t>typus</w:t>
      </w:r>
      <w:r w:rsidRPr="003B0AE2">
        <w:rPr>
          <w:rFonts w:ascii="Garamond" w:hAnsi="Garamond"/>
        </w:rPr>
        <w:t xml:space="preserve"> or </w:t>
      </w:r>
      <w:r w:rsidRPr="003B0AE2">
        <w:rPr>
          <w:rFonts w:ascii="Garamond" w:hAnsi="Garamond"/>
          <w:i/>
        </w:rPr>
        <w:t>figura Christi</w:t>
      </w:r>
      <w:r w:rsidR="006F31BF">
        <w:rPr>
          <w:rFonts w:ascii="Garamond" w:hAnsi="Garamond"/>
          <w:i/>
        </w:rPr>
        <w:t xml:space="preserve">…. </w:t>
      </w:r>
      <w:r>
        <w:rPr>
          <w:rFonts w:ascii="Garamond" w:hAnsi="Garamond"/>
        </w:rPr>
        <w:t>(</w:t>
      </w:r>
      <w:r w:rsidRPr="003B0AE2">
        <w:rPr>
          <w:rFonts w:ascii="Garamond" w:hAnsi="Garamond"/>
        </w:rPr>
        <w:t>Yale</w:t>
      </w:r>
      <w:r>
        <w:rPr>
          <w:rFonts w:ascii="Garamond" w:hAnsi="Garamond"/>
        </w:rPr>
        <w:t xml:space="preserve"> UP</w:t>
      </w:r>
      <w:r w:rsidRPr="003B0AE2">
        <w:rPr>
          <w:rFonts w:ascii="Garamond" w:hAnsi="Garamond"/>
        </w:rPr>
        <w:t>, 1975, pg. 36</w:t>
      </w:r>
      <w:r w:rsidR="005C7EFD">
        <w:rPr>
          <w:rFonts w:ascii="Garamond" w:hAnsi="Garamond"/>
        </w:rPr>
        <w:t>.</w:t>
      </w:r>
      <w:r>
        <w:rPr>
          <w:rFonts w:ascii="Garamond" w:hAnsi="Garamond"/>
        </w:rPr>
        <w:t>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</w:p>
    <w:p w:rsidR="00111381" w:rsidRPr="0021574C" w:rsidRDefault="00111381" w:rsidP="00111381">
      <w:pPr>
        <w:jc w:val="center"/>
        <w:rPr>
          <w:rFonts w:ascii="Garamond" w:hAnsi="Garamond"/>
          <w:b/>
          <w:caps/>
        </w:rPr>
      </w:pPr>
      <w:r w:rsidRPr="0021574C">
        <w:rPr>
          <w:rFonts w:ascii="Garamond" w:hAnsi="Garamond"/>
          <w:b/>
          <w:caps/>
        </w:rPr>
        <w:t xml:space="preserve">Note by </w:t>
      </w:r>
      <w:r>
        <w:rPr>
          <w:rFonts w:ascii="Garamond" w:hAnsi="Garamond"/>
          <w:b/>
          <w:caps/>
        </w:rPr>
        <w:t>Prof. Vicki Silver of UC Irvine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 xml:space="preserve">Typology as a method is expounded in </w:t>
      </w:r>
      <w:r w:rsidRPr="0021574C">
        <w:rPr>
          <w:rFonts w:ascii="Garamond" w:hAnsi="Garamond"/>
          <w:i/>
        </w:rPr>
        <w:t>Paradise Lost:</w:t>
      </w:r>
      <w:r w:rsidRPr="003B0AE2">
        <w:rPr>
          <w:rFonts w:ascii="Garamond" w:hAnsi="Garamond"/>
        </w:rPr>
        <w:t xml:space="preserve">  11.315-54; 12.147-51; 12.238-44, 285-314.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</w:r>
      <w:r w:rsidRPr="003B0AE2">
        <w:rPr>
          <w:rFonts w:ascii="Garamond" w:hAnsi="Garamond"/>
          <w:u w:val="single"/>
        </w:rPr>
        <w:t>Types of Christ/Messiah</w:t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  <w:u w:val="single"/>
        </w:rPr>
        <w:t>Types of Anti-Christ/Satan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Abel (11.429-60)</w:t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  <w:t>Cain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Sons of Seth (11.556-97)</w:t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  <w:t>Sons of Cain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Enoch (11.638-710)</w:t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  <w:t>Giants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Noah (11.712-902)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Patriarchs (12.13-78)</w:t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  <w:t>Nimrod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Abraham (12.105-51)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Jacob (12.151-63)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Moses/Aaron (12.169-244)</w:t>
      </w:r>
      <w:r w:rsidRPr="003B0AE2">
        <w:rPr>
          <w:rFonts w:ascii="Garamond" w:hAnsi="Garamond"/>
        </w:rPr>
        <w:tab/>
        <w:t>Pharaoh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Joshua (12.260-67)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David (12.319-30)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  <w:r w:rsidRPr="003B0AE2">
        <w:rPr>
          <w:rFonts w:ascii="Garamond" w:hAnsi="Garamond"/>
        </w:rPr>
        <w:tab/>
        <w:t>Disciples (12.485-507)</w:t>
      </w:r>
      <w:r w:rsidRPr="003B0AE2">
        <w:rPr>
          <w:rFonts w:ascii="Garamond" w:hAnsi="Garamond"/>
        </w:rPr>
        <w:tab/>
      </w:r>
      <w:r w:rsidRPr="003B0AE2">
        <w:rPr>
          <w:rFonts w:ascii="Garamond" w:hAnsi="Garamond"/>
        </w:rPr>
        <w:tab/>
        <w:t>Prelatical Church (12.507-50)</w:t>
      </w:r>
    </w:p>
    <w:p w:rsidR="00111381" w:rsidRPr="003B0AE2" w:rsidRDefault="00111381" w:rsidP="00111381">
      <w:pPr>
        <w:jc w:val="both"/>
        <w:rPr>
          <w:rFonts w:ascii="Garamond" w:hAnsi="Garamond"/>
        </w:rPr>
      </w:pPr>
    </w:p>
    <w:p w:rsidR="00111381" w:rsidRPr="00AE11A5" w:rsidRDefault="00111381" w:rsidP="00111381">
      <w:pPr>
        <w:jc w:val="both"/>
        <w:rPr>
          <w:rFonts w:ascii="Garamond" w:hAnsi="Garamond"/>
          <w:spacing w:val="-2"/>
        </w:rPr>
      </w:pPr>
      <w:r w:rsidRPr="003B0AE2">
        <w:rPr>
          <w:rFonts w:ascii="Garamond" w:hAnsi="Garamond"/>
        </w:rPr>
        <w:t>All the types of Messiah are fulfilled, as both Michael and the narrator take care to point out, in Jesus (12.285-314, 356-71, 386-466), their antitype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 xml:space="preserve">More particularly, Adam himself is the type of Christ, that </w:t>
      </w:r>
      <w:r w:rsidR="00C07ED7">
        <w:rPr>
          <w:rFonts w:ascii="Garamond" w:hAnsi="Garamond"/>
        </w:rPr>
        <w:t>“</w:t>
      </w:r>
      <w:r w:rsidRPr="003B0AE2">
        <w:rPr>
          <w:rFonts w:ascii="Garamond" w:hAnsi="Garamond"/>
        </w:rPr>
        <w:t>one greater man</w:t>
      </w:r>
      <w:r w:rsidR="00C07ED7">
        <w:rPr>
          <w:rFonts w:ascii="Garamond" w:hAnsi="Garamond"/>
        </w:rPr>
        <w:t>”</w:t>
      </w:r>
      <w:r w:rsidRPr="003B0AE2">
        <w:rPr>
          <w:rFonts w:ascii="Garamond" w:hAnsi="Garamond"/>
        </w:rPr>
        <w:t xml:space="preserve"> of </w:t>
      </w:r>
      <w:r w:rsidRPr="003B0AE2">
        <w:rPr>
          <w:rFonts w:ascii="Garamond" w:hAnsi="Garamond"/>
          <w:u w:val="single"/>
        </w:rPr>
        <w:t>PL</w:t>
      </w:r>
      <w:r w:rsidRPr="003B0AE2">
        <w:rPr>
          <w:rFonts w:ascii="Garamond" w:hAnsi="Garamond"/>
        </w:rPr>
        <w:t xml:space="preserve"> 1.4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 xml:space="preserve">This mode of </w:t>
      </w:r>
      <w:r w:rsidR="00C07ED7">
        <w:rPr>
          <w:rFonts w:ascii="Garamond" w:hAnsi="Garamond"/>
        </w:rPr>
        <w:t>“</w:t>
      </w:r>
      <w:r w:rsidRPr="003B0AE2">
        <w:rPr>
          <w:rFonts w:ascii="Garamond" w:hAnsi="Garamond"/>
        </w:rPr>
        <w:t>figural,</w:t>
      </w:r>
      <w:r w:rsidR="00C07ED7">
        <w:rPr>
          <w:rFonts w:ascii="Garamond" w:hAnsi="Garamond"/>
        </w:rPr>
        <w:t>”</w:t>
      </w:r>
      <w:r w:rsidRPr="003B0AE2">
        <w:rPr>
          <w:rFonts w:ascii="Garamond" w:hAnsi="Garamond"/>
        </w:rPr>
        <w:t xml:space="preserve"> or prefigurative, reading applies to women (Eve/Mary), and to events (for example, the covenant with Noah anticipates the covenant with Abraham, with Moses, and finally with the New Covenant embodied in Christ</w:t>
      </w:r>
      <w:r w:rsidR="00C07ED7">
        <w:rPr>
          <w:rFonts w:ascii="Garamond" w:hAnsi="Garamond"/>
        </w:rPr>
        <w:t>’</w:t>
      </w:r>
      <w:r w:rsidRPr="003B0AE2">
        <w:rPr>
          <w:rFonts w:ascii="Garamond" w:hAnsi="Garamond"/>
        </w:rPr>
        <w:t>s passion and resurrection) or actions (Moses</w:t>
      </w:r>
      <w:r w:rsidR="00C07ED7">
        <w:rPr>
          <w:rFonts w:ascii="Garamond" w:hAnsi="Garamond"/>
        </w:rPr>
        <w:t>’</w:t>
      </w:r>
      <w:r w:rsidRPr="003B0AE2">
        <w:rPr>
          <w:rFonts w:ascii="Garamond" w:hAnsi="Garamond"/>
        </w:rPr>
        <w:t xml:space="preserve"> bringing the Israelites out of Egypt foreshadows Christ</w:t>
      </w:r>
      <w:r w:rsidR="00C07ED7">
        <w:rPr>
          <w:rFonts w:ascii="Garamond" w:hAnsi="Garamond"/>
        </w:rPr>
        <w:t>’</w:t>
      </w:r>
      <w:r w:rsidRPr="003B0AE2">
        <w:rPr>
          <w:rFonts w:ascii="Garamond" w:hAnsi="Garamond"/>
        </w:rPr>
        <w:t>s universal redemption of man)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>Still more pertinent to seventeenth-century history and literature, prefigurative reading applies to seventeenth-century persons and events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>So Nimrod, in all likelihood, is a type of Charles the First, if not of Charles the Second as well</w:t>
      </w:r>
      <w:r w:rsidR="005C7EFD">
        <w:rPr>
          <w:rFonts w:ascii="Garamond" w:hAnsi="Garamond"/>
        </w:rPr>
        <w:t xml:space="preserve">. </w:t>
      </w:r>
      <w:r w:rsidRPr="003B0AE2">
        <w:rPr>
          <w:rFonts w:ascii="Garamond" w:hAnsi="Garamond"/>
        </w:rPr>
        <w:t xml:space="preserve">The Civil War enjoyed numerous expressions in both Testaments, but none are mentioned in </w:t>
      </w:r>
      <w:r w:rsidRPr="0021574C">
        <w:rPr>
          <w:rFonts w:ascii="Garamond" w:hAnsi="Garamond"/>
          <w:i/>
        </w:rPr>
        <w:t>Paradise Lost</w:t>
      </w:r>
      <w:r w:rsidRPr="003B0AE2">
        <w:rPr>
          <w:rFonts w:ascii="Garamond" w:hAnsi="Garamond"/>
        </w:rPr>
        <w:t xml:space="preserve"> itself.)  Perhaps the best example of supra-gospel typology appears </w:t>
      </w:r>
      <w:r w:rsidRPr="00AE11A5">
        <w:rPr>
          <w:rFonts w:ascii="Garamond" w:hAnsi="Garamond"/>
          <w:spacing w:val="-2"/>
        </w:rPr>
        <w:t>in early American literature</w:t>
      </w:r>
      <w:r w:rsidR="005C7EFD" w:rsidRPr="00AE11A5">
        <w:rPr>
          <w:rFonts w:ascii="Garamond" w:hAnsi="Garamond"/>
          <w:spacing w:val="-2"/>
        </w:rPr>
        <w:t xml:space="preserve">. </w:t>
      </w:r>
      <w:r w:rsidRPr="00AE11A5">
        <w:rPr>
          <w:rFonts w:ascii="Garamond" w:hAnsi="Garamond"/>
          <w:spacing w:val="-2"/>
        </w:rPr>
        <w:t>America, as conceived by the Protestants who made it their home (the Massachusetts Bay Colony in particular), was at once New Eden and New Jerusalem; the migration itself became an analogue to exodus, to baptism, and to purification of the church</w:t>
      </w:r>
      <w:r w:rsidR="005C7EFD" w:rsidRPr="00AE11A5">
        <w:rPr>
          <w:rFonts w:ascii="Garamond" w:hAnsi="Garamond"/>
          <w:spacing w:val="-2"/>
        </w:rPr>
        <w:t xml:space="preserve">. </w:t>
      </w:r>
      <w:r w:rsidRPr="00AE11A5">
        <w:rPr>
          <w:rFonts w:ascii="Garamond" w:hAnsi="Garamond"/>
          <w:spacing w:val="-2"/>
        </w:rPr>
        <w:t xml:space="preserve">In the hands of Cotton Mather, the governor of the colony, John Winthrop, became the new Nehemiah, or </w:t>
      </w:r>
      <w:r w:rsidR="00C07ED7">
        <w:rPr>
          <w:rFonts w:ascii="Garamond" w:hAnsi="Garamond"/>
          <w:spacing w:val="-2"/>
        </w:rPr>
        <w:t>“</w:t>
      </w:r>
      <w:r w:rsidRPr="00AE11A5">
        <w:rPr>
          <w:rFonts w:ascii="Garamond" w:hAnsi="Garamond"/>
          <w:spacing w:val="-2"/>
        </w:rPr>
        <w:t>Nehemias Americanus.</w:t>
      </w:r>
      <w:r w:rsidR="00C07ED7">
        <w:rPr>
          <w:rFonts w:ascii="Garamond" w:hAnsi="Garamond"/>
          <w:spacing w:val="-2"/>
        </w:rPr>
        <w:t>”</w:t>
      </w:r>
      <w:r w:rsidRPr="00AE11A5">
        <w:rPr>
          <w:rFonts w:ascii="Garamond" w:hAnsi="Garamond"/>
          <w:spacing w:val="-2"/>
        </w:rPr>
        <w:t xml:space="preserve">  For seventeenth-century ideologues, reformers, and sectaries, typology becomes a method of reading not only scripture, but secular history and current events</w:t>
      </w:r>
      <w:r w:rsidR="005C7EFD" w:rsidRPr="00AE11A5">
        <w:rPr>
          <w:rFonts w:ascii="Garamond" w:hAnsi="Garamond"/>
          <w:spacing w:val="-2"/>
        </w:rPr>
        <w:t xml:space="preserve">. </w:t>
      </w:r>
      <w:r w:rsidRPr="00AE11A5">
        <w:rPr>
          <w:rFonts w:ascii="Garamond" w:hAnsi="Garamond"/>
          <w:spacing w:val="-2"/>
        </w:rPr>
        <w:t xml:space="preserve">By comparison with Mather, Milton articulates only the most accepted and orthodox correspondences in </w:t>
      </w:r>
      <w:r w:rsidRPr="00AE11A5">
        <w:rPr>
          <w:rFonts w:ascii="Garamond" w:hAnsi="Garamond"/>
          <w:i/>
          <w:spacing w:val="-2"/>
        </w:rPr>
        <w:t>Paradise Lost</w:t>
      </w:r>
      <w:r w:rsidR="005C7EFD" w:rsidRPr="00AE11A5">
        <w:rPr>
          <w:rFonts w:ascii="Garamond" w:hAnsi="Garamond"/>
          <w:i/>
          <w:spacing w:val="-2"/>
        </w:rPr>
        <w:t xml:space="preserve">. </w:t>
      </w:r>
      <w:r w:rsidRPr="00AE11A5">
        <w:rPr>
          <w:rFonts w:ascii="Garamond" w:hAnsi="Garamond"/>
          <w:spacing w:val="-2"/>
        </w:rPr>
        <w:t>(Note:  Samson is a type both of Adam and Christ; cf. Milton</w:t>
      </w:r>
      <w:r w:rsidR="00C07ED7">
        <w:rPr>
          <w:rFonts w:ascii="Garamond" w:hAnsi="Garamond"/>
          <w:spacing w:val="-2"/>
        </w:rPr>
        <w:t>’</w:t>
      </w:r>
      <w:r w:rsidRPr="00AE11A5">
        <w:rPr>
          <w:rFonts w:ascii="Garamond" w:hAnsi="Garamond"/>
          <w:spacing w:val="-2"/>
        </w:rPr>
        <w:t xml:space="preserve">s </w:t>
      </w:r>
      <w:r w:rsidRPr="00AE11A5">
        <w:rPr>
          <w:rFonts w:ascii="Garamond" w:hAnsi="Garamond"/>
          <w:i/>
          <w:spacing w:val="-2"/>
        </w:rPr>
        <w:t>Samson Agonistes.</w:t>
      </w:r>
      <w:r w:rsidRPr="00AE11A5">
        <w:rPr>
          <w:rFonts w:ascii="Garamond" w:hAnsi="Garamond"/>
          <w:spacing w:val="-2"/>
        </w:rPr>
        <w:t>)</w:t>
      </w:r>
    </w:p>
    <w:p w:rsidR="00111381" w:rsidRDefault="00111381" w:rsidP="00111381">
      <w:pPr>
        <w:rPr>
          <w:rFonts w:ascii="Garamond" w:hAnsi="Garamond"/>
        </w:rPr>
      </w:pPr>
    </w:p>
    <w:p w:rsidR="00E0295A" w:rsidRPr="005C7EFD" w:rsidRDefault="00111381" w:rsidP="005C7EFD">
      <w:pPr>
        <w:jc w:val="both"/>
        <w:rPr>
          <w:rFonts w:ascii="Garamond" w:hAnsi="Garamond"/>
        </w:rPr>
      </w:pPr>
      <w:r w:rsidRPr="0021574C">
        <w:rPr>
          <w:rFonts w:ascii="Garamond" w:hAnsi="Garamond"/>
          <w:u w:val="single"/>
        </w:rPr>
        <w:t>See also</w:t>
      </w:r>
      <w:r>
        <w:rPr>
          <w:rFonts w:ascii="Garamond" w:hAnsi="Garamond"/>
        </w:rPr>
        <w:t>:</w:t>
      </w:r>
      <w:r w:rsidRPr="003B0AE2">
        <w:rPr>
          <w:rFonts w:ascii="Garamond" w:hAnsi="Garamond"/>
        </w:rPr>
        <w:t xml:space="preserve"> </w:t>
      </w:r>
      <w:r w:rsidRPr="00CC3FFD">
        <w:rPr>
          <w:rFonts w:ascii="Garamond" w:hAnsi="Garamond"/>
          <w:i/>
        </w:rPr>
        <w:t>The Cambridge History of the Bible</w:t>
      </w:r>
      <w:r w:rsidRPr="003B0AE2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multivolume, </w:t>
      </w:r>
      <w:r w:rsidRPr="003B0AE2">
        <w:rPr>
          <w:rFonts w:ascii="Garamond" w:hAnsi="Garamond"/>
        </w:rPr>
        <w:t xml:space="preserve">eds. </w:t>
      </w:r>
      <w:r>
        <w:rPr>
          <w:rFonts w:ascii="Garamond" w:hAnsi="Garamond"/>
        </w:rPr>
        <w:t>P.</w:t>
      </w:r>
      <w:r w:rsidR="005C7EF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R. </w:t>
      </w:r>
      <w:r w:rsidRPr="003B0AE2">
        <w:rPr>
          <w:rFonts w:ascii="Garamond" w:hAnsi="Garamond"/>
        </w:rPr>
        <w:t xml:space="preserve">Ackroyd and </w:t>
      </w:r>
      <w:r>
        <w:rPr>
          <w:rFonts w:ascii="Garamond" w:hAnsi="Garamond"/>
        </w:rPr>
        <w:t>C.</w:t>
      </w:r>
      <w:r w:rsidR="005C7EF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F. </w:t>
      </w:r>
      <w:r w:rsidRPr="003B0AE2">
        <w:rPr>
          <w:rFonts w:ascii="Garamond" w:hAnsi="Garamond"/>
        </w:rPr>
        <w:t>Evans</w:t>
      </w:r>
      <w:r>
        <w:rPr>
          <w:rFonts w:ascii="Garamond" w:hAnsi="Garamond"/>
        </w:rPr>
        <w:t>, Cambridge UP, 1975</w:t>
      </w:r>
      <w:r w:rsidRPr="003B0AE2">
        <w:rPr>
          <w:rFonts w:ascii="Garamond" w:hAnsi="Garamond"/>
        </w:rPr>
        <w:t>)</w:t>
      </w:r>
      <w:r>
        <w:rPr>
          <w:rFonts w:ascii="Garamond" w:hAnsi="Garamond"/>
        </w:rPr>
        <w:t xml:space="preserve">; </w:t>
      </w:r>
      <w:r w:rsidRPr="00CC3FFD">
        <w:rPr>
          <w:rFonts w:ascii="Garamond" w:hAnsi="Garamond"/>
          <w:i/>
        </w:rPr>
        <w:t>The Authority and Interpretation of the Bible</w:t>
      </w:r>
      <w:r>
        <w:rPr>
          <w:rFonts w:ascii="Garamond" w:hAnsi="Garamond"/>
          <w:i/>
        </w:rPr>
        <w:t>: an Historical Approach</w:t>
      </w:r>
      <w:r>
        <w:rPr>
          <w:rFonts w:ascii="Garamond" w:hAnsi="Garamond"/>
        </w:rPr>
        <w:t xml:space="preserve"> (Jack B. Rogers and Donald K. McKim, Wipf and Stock Publishers, 1999), and </w:t>
      </w:r>
      <w:r w:rsidRPr="00CC3FFD">
        <w:rPr>
          <w:rFonts w:ascii="Garamond" w:hAnsi="Garamond"/>
          <w:i/>
        </w:rPr>
        <w:t>The Puritan Origins of the American Self</w:t>
      </w:r>
      <w:r w:rsidRPr="003B0AE2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Sacvan </w:t>
      </w:r>
      <w:r w:rsidRPr="003B0AE2">
        <w:rPr>
          <w:rFonts w:ascii="Garamond" w:hAnsi="Garamond"/>
        </w:rPr>
        <w:t>Bercovitch</w:t>
      </w:r>
      <w:r>
        <w:rPr>
          <w:rFonts w:ascii="Garamond" w:hAnsi="Garamond"/>
        </w:rPr>
        <w:t>, Yale UP, 1975</w:t>
      </w:r>
      <w:r w:rsidRPr="003B0AE2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sectPr w:rsidR="00E0295A" w:rsidRPr="005C7EFD" w:rsidSect="0021574C">
      <w:headerReference w:type="default" r:id="rId6"/>
      <w:footerReference w:type="even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9" w:rsidRDefault="002939D9">
      <w:r>
        <w:separator/>
      </w:r>
    </w:p>
  </w:endnote>
  <w:endnote w:type="continuationSeparator" w:id="0">
    <w:p w:rsidR="002939D9" w:rsidRDefault="0029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0A" w:rsidRDefault="001D74A1" w:rsidP="007E07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60A" w:rsidRDefault="00293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0A" w:rsidRPr="002E760A" w:rsidRDefault="001D74A1" w:rsidP="007E076E">
    <w:pPr>
      <w:pStyle w:val="Footer"/>
      <w:framePr w:wrap="around" w:vAnchor="text" w:hAnchor="margin" w:xAlign="center" w:y="1"/>
      <w:rPr>
        <w:rStyle w:val="PageNumber"/>
        <w:rFonts w:ascii="Garamond" w:hAnsi="Garamond"/>
      </w:rPr>
    </w:pPr>
    <w:r w:rsidRPr="002E760A">
      <w:rPr>
        <w:rStyle w:val="PageNumber"/>
        <w:rFonts w:ascii="Garamond" w:hAnsi="Garamond"/>
      </w:rPr>
      <w:fldChar w:fldCharType="begin"/>
    </w:r>
    <w:r w:rsidRPr="002E760A">
      <w:rPr>
        <w:rStyle w:val="PageNumber"/>
        <w:rFonts w:ascii="Garamond" w:hAnsi="Garamond"/>
      </w:rPr>
      <w:instrText xml:space="preserve">PAGE  </w:instrText>
    </w:r>
    <w:r w:rsidRPr="002E760A">
      <w:rPr>
        <w:rStyle w:val="PageNumber"/>
        <w:rFonts w:ascii="Garamond" w:hAnsi="Garamond"/>
      </w:rPr>
      <w:fldChar w:fldCharType="separate"/>
    </w:r>
    <w:r w:rsidR="00833666">
      <w:rPr>
        <w:rStyle w:val="PageNumber"/>
        <w:rFonts w:ascii="Garamond" w:hAnsi="Garamond"/>
        <w:noProof/>
      </w:rPr>
      <w:t>1</w:t>
    </w:r>
    <w:r w:rsidRPr="002E760A">
      <w:rPr>
        <w:rStyle w:val="PageNumber"/>
        <w:rFonts w:ascii="Garamond" w:hAnsi="Garamond"/>
      </w:rPr>
      <w:fldChar w:fldCharType="end"/>
    </w:r>
  </w:p>
  <w:p w:rsidR="002E760A" w:rsidRDefault="00293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9" w:rsidRDefault="002939D9">
      <w:r>
        <w:separator/>
      </w:r>
    </w:p>
  </w:footnote>
  <w:footnote w:type="continuationSeparator" w:id="0">
    <w:p w:rsidR="002939D9" w:rsidRDefault="0029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DC" w:rsidRDefault="002939D9">
    <w:pPr>
      <w:pStyle w:val="Header"/>
      <w:jc w:val="right"/>
      <w:rPr>
        <w:rFonts w:ascii="Century Schoolbook" w:hAnsi="Century Schoolbook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1"/>
    <w:rsid w:val="00111381"/>
    <w:rsid w:val="00137FF1"/>
    <w:rsid w:val="001D74A1"/>
    <w:rsid w:val="002939D9"/>
    <w:rsid w:val="00377A87"/>
    <w:rsid w:val="005C7EFD"/>
    <w:rsid w:val="005D13F6"/>
    <w:rsid w:val="00655902"/>
    <w:rsid w:val="00673D40"/>
    <w:rsid w:val="006E10B0"/>
    <w:rsid w:val="006F31BF"/>
    <w:rsid w:val="00833666"/>
    <w:rsid w:val="00866180"/>
    <w:rsid w:val="00937945"/>
    <w:rsid w:val="00AE11A5"/>
    <w:rsid w:val="00AE2A21"/>
    <w:rsid w:val="00C07ED7"/>
    <w:rsid w:val="00C43B02"/>
    <w:rsid w:val="00D65CE4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83E84-FEC4-4A2A-8F2E-59E36152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1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1381"/>
    <w:rPr>
      <w:rFonts w:ascii="Arial" w:eastAsia="Times New Roman" w:hAnsi="Arial" w:cs="Arial"/>
      <w:sz w:val="22"/>
    </w:rPr>
  </w:style>
  <w:style w:type="character" w:styleId="PageNumber">
    <w:name w:val="page number"/>
    <w:basedOn w:val="DefaultParagraphFont"/>
    <w:rsid w:val="00111381"/>
  </w:style>
  <w:style w:type="paragraph" w:styleId="Footer">
    <w:name w:val="footer"/>
    <w:basedOn w:val="Normal"/>
    <w:link w:val="FooterChar"/>
    <w:rsid w:val="001113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1381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3182</Characters>
  <Application>Microsoft Office Word</Application>
  <DocSecurity>0</DocSecurity>
  <Lines>244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10</cp:revision>
  <cp:lastPrinted>2023-02-10T19:29:00Z</cp:lastPrinted>
  <dcterms:created xsi:type="dcterms:W3CDTF">2022-12-08T12:28:00Z</dcterms:created>
  <dcterms:modified xsi:type="dcterms:W3CDTF">2023-02-10T19:29:00Z</dcterms:modified>
</cp:coreProperties>
</file>